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1chiara-colore5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0D48D8" w:rsidRPr="004269BF" w14:paraId="2D83E3FF" w14:textId="77777777" w:rsidTr="00A71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7" w:type="dxa"/>
            <w:vAlign w:val="center"/>
          </w:tcPr>
          <w:tbl>
            <w:tblPr>
              <w:tblW w:w="90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7598"/>
            </w:tblGrid>
            <w:tr w:rsidR="00A7140B" w:rsidRPr="00A7140B" w14:paraId="77B2C076" w14:textId="77777777" w:rsidTr="00A7140B">
              <w:trPr>
                <w:trHeight w:val="1750"/>
              </w:trPr>
              <w:tc>
                <w:tcPr>
                  <w:tcW w:w="1407" w:type="dxa"/>
                  <w:shd w:val="clear" w:color="auto" w:fill="auto"/>
                </w:tcPr>
                <w:p w14:paraId="5802B5F2" w14:textId="677BD772" w:rsidR="00A7140B" w:rsidRPr="00A7140B" w:rsidRDefault="00A7140B" w:rsidP="00A7140B">
                  <w:pPr>
                    <w:keepNext/>
                    <w:numPr>
                      <w:ilvl w:val="0"/>
                      <w:numId w:val="8"/>
                    </w:numPr>
                    <w:suppressAutoHyphens/>
                    <w:jc w:val="center"/>
                    <w:outlineLvl w:val="0"/>
                    <w:rPr>
                      <w:rFonts w:ascii="Palatino Linotype" w:hAnsi="Palatino Linotype" w:cs="Palatino Linotype"/>
                      <w:b/>
                      <w:sz w:val="32"/>
                      <w:szCs w:val="32"/>
                      <w:lang w:eastAsia="zh-CN"/>
                    </w:rPr>
                  </w:pPr>
                  <w:r w:rsidRPr="00A7140B">
                    <w:rPr>
                      <w:rFonts w:ascii="Palatino Linotype" w:hAnsi="Palatino Linotype" w:cs="Arial"/>
                      <w:noProof/>
                      <w:sz w:val="20"/>
                      <w:szCs w:val="18"/>
                      <w:lang w:eastAsia="zh-CN"/>
                    </w:rPr>
                    <w:drawing>
                      <wp:inline distT="0" distB="0" distL="0" distR="0" wp14:anchorId="3F771F90" wp14:editId="715BBD58">
                        <wp:extent cx="752475" cy="685800"/>
                        <wp:effectExtent l="0" t="0" r="952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79" t="-79" r="-79" b="-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98" w:type="dxa"/>
                  <w:shd w:val="clear" w:color="auto" w:fill="auto"/>
                </w:tcPr>
                <w:p w14:paraId="7B0AEE8F" w14:textId="77777777" w:rsidR="00A7140B" w:rsidRPr="00A7140B" w:rsidRDefault="00A7140B" w:rsidP="00A7140B">
                  <w:pPr>
                    <w:suppressAutoHyphens/>
                    <w:jc w:val="center"/>
                    <w:rPr>
                      <w:szCs w:val="20"/>
                      <w:lang w:eastAsia="zh-CN"/>
                    </w:rPr>
                  </w:pPr>
                  <w:r w:rsidRPr="00A7140B">
                    <w:rPr>
                      <w:rFonts w:ascii="Palatino Linotype" w:hAnsi="Palatino Linotype" w:cs="Palatino Linotype"/>
                      <w:b/>
                      <w:sz w:val="32"/>
                      <w:szCs w:val="32"/>
                      <w:lang w:eastAsia="zh-CN"/>
                    </w:rPr>
                    <w:t>ISTITUTO COMPRENSIVO VIA RAIBERTI</w:t>
                  </w:r>
                </w:p>
                <w:p w14:paraId="6D6EE87F" w14:textId="77777777" w:rsidR="00A7140B" w:rsidRPr="00A7140B" w:rsidRDefault="00A7140B" w:rsidP="00A7140B">
                  <w:pPr>
                    <w:suppressAutoHyphens/>
                    <w:jc w:val="center"/>
                    <w:rPr>
                      <w:szCs w:val="20"/>
                      <w:lang w:eastAsia="zh-CN"/>
                    </w:rPr>
                  </w:pPr>
                  <w:r w:rsidRPr="00A7140B">
                    <w:rPr>
                      <w:rFonts w:ascii="Palatino Linotype" w:hAnsi="Palatino Linotype" w:cs="Palatino Linotype"/>
                      <w:sz w:val="22"/>
                      <w:szCs w:val="22"/>
                      <w:lang w:eastAsia="zh-CN"/>
                    </w:rPr>
                    <w:t xml:space="preserve">Via G. Raiberti, 4 – 20900 - Monza - </w:t>
                  </w:r>
                  <w:r w:rsidRPr="00A7140B">
                    <w:rPr>
                      <w:rFonts w:ascii="Wingdings 2" w:eastAsia="Wingdings 2" w:hAnsi="Wingdings 2" w:cs="Wingdings 2"/>
                      <w:sz w:val="22"/>
                      <w:szCs w:val="22"/>
                      <w:lang w:eastAsia="zh-CN"/>
                    </w:rPr>
                    <w:t></w:t>
                  </w:r>
                  <w:r w:rsidRPr="00A7140B">
                    <w:rPr>
                      <w:rFonts w:ascii="Palatino Linotype" w:hAnsi="Palatino Linotype" w:cs="Palatino Linotype"/>
                      <w:sz w:val="22"/>
                      <w:szCs w:val="22"/>
                      <w:lang w:eastAsia="zh-CN"/>
                    </w:rPr>
                    <w:t xml:space="preserve"> 039/322106 - </w:t>
                  </w:r>
                  <w:r w:rsidRPr="00A7140B">
                    <w:rPr>
                      <w:rFonts w:ascii="Wingdings 2" w:eastAsia="Wingdings 2" w:hAnsi="Wingdings 2" w:cs="Wingdings 2"/>
                      <w:sz w:val="22"/>
                      <w:szCs w:val="22"/>
                      <w:lang w:eastAsia="zh-CN"/>
                    </w:rPr>
                    <w:t></w:t>
                  </w:r>
                  <w:r w:rsidRPr="00A7140B">
                    <w:rPr>
                      <w:rFonts w:ascii="Palatino Linotype" w:hAnsi="Palatino Linotype" w:cs="Palatino Linotype"/>
                      <w:sz w:val="22"/>
                      <w:szCs w:val="22"/>
                      <w:lang w:eastAsia="zh-CN"/>
                    </w:rPr>
                    <w:t xml:space="preserve"> 039/3903261</w:t>
                  </w:r>
                </w:p>
                <w:p w14:paraId="52DA366A" w14:textId="77777777" w:rsidR="00A7140B" w:rsidRPr="00A7140B" w:rsidRDefault="00A7140B" w:rsidP="00A7140B">
                  <w:pPr>
                    <w:suppressAutoHyphens/>
                    <w:jc w:val="center"/>
                    <w:rPr>
                      <w:szCs w:val="20"/>
                      <w:lang w:eastAsia="zh-CN"/>
                    </w:rPr>
                  </w:pPr>
                  <w:r w:rsidRPr="00A7140B">
                    <w:rPr>
                      <w:rFonts w:ascii="Palatino Linotype" w:hAnsi="Palatino Linotype" w:cs="Palatino Linotype"/>
                      <w:sz w:val="22"/>
                      <w:szCs w:val="22"/>
                      <w:lang w:val="en-GB" w:eastAsia="zh-CN"/>
                    </w:rPr>
                    <w:t>Cod. Mecc. MBIC8F600V - C.F. 94627690152 - C.U. UFYXJW</w:t>
                  </w:r>
                </w:p>
                <w:p w14:paraId="1866581A" w14:textId="60ABA4CB" w:rsidR="00A7140B" w:rsidRPr="00A7140B" w:rsidRDefault="00A7140B" w:rsidP="00A7140B">
                  <w:pPr>
                    <w:suppressAutoHyphens/>
                    <w:jc w:val="center"/>
                    <w:rPr>
                      <w:szCs w:val="20"/>
                      <w:lang w:eastAsia="zh-CN"/>
                    </w:rPr>
                  </w:pPr>
                  <w:r w:rsidRPr="00A7140B">
                    <w:rPr>
                      <w:rFonts w:ascii="Wingdings" w:eastAsia="Wingdings" w:hAnsi="Wingdings" w:cs="Wingdings"/>
                      <w:sz w:val="20"/>
                      <w:szCs w:val="20"/>
                      <w:lang w:eastAsia="zh-CN"/>
                    </w:rPr>
                    <w:t></w:t>
                  </w:r>
                  <w:r w:rsidRPr="00A7140B">
                    <w:rPr>
                      <w:rFonts w:ascii="Palatino Linotype" w:eastAsia="Palatino Linotype" w:hAnsi="Palatino Linotype" w:cs="Palatino Linotype"/>
                      <w:i/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hyperlink r:id="rId9" w:history="1">
                    <w:r w:rsidRPr="00A7140B">
                      <w:rPr>
                        <w:rFonts w:ascii="Palatino Linotype" w:hAnsi="Palatino Linotype" w:cs="Palatino Linotype"/>
                        <w:i/>
                        <w:color w:val="0000FF"/>
                        <w:sz w:val="20"/>
                        <w:szCs w:val="20"/>
                        <w:u w:val="single"/>
                        <w:lang w:val="en-GB" w:eastAsia="zh-CN"/>
                      </w:rPr>
                      <w:t>mbic8f600v@istruzione.it</w:t>
                    </w:r>
                  </w:hyperlink>
                  <w:r w:rsidRPr="00A7140B">
                    <w:rPr>
                      <w:rFonts w:ascii="Palatino Linotype" w:hAnsi="Palatino Linotype" w:cs="Palatino Linotype"/>
                      <w:i/>
                      <w:sz w:val="20"/>
                      <w:szCs w:val="20"/>
                      <w:lang w:val="en-GB" w:eastAsia="zh-CN"/>
                    </w:rPr>
                    <w:t xml:space="preserve">  </w:t>
                  </w:r>
                  <w:r w:rsidRPr="00A7140B">
                    <w:rPr>
                      <w:rFonts w:ascii="Wingdings" w:eastAsia="Wingdings" w:hAnsi="Wingdings" w:cs="Wingdings"/>
                      <w:sz w:val="20"/>
                      <w:szCs w:val="20"/>
                      <w:lang w:eastAsia="zh-CN"/>
                    </w:rPr>
                    <w:t></w:t>
                  </w:r>
                  <w:r w:rsidRPr="00A7140B">
                    <w:rPr>
                      <w:rFonts w:ascii="Palatino Linotype" w:hAnsi="Palatino Linotype" w:cs="Palatino Linotype"/>
                      <w:sz w:val="20"/>
                      <w:szCs w:val="20"/>
                      <w:lang w:val="en-GB" w:eastAsia="zh-CN"/>
                    </w:rPr>
                    <w:t xml:space="preserve"> pec: </w:t>
                  </w:r>
                  <w:r w:rsidRPr="00A7140B">
                    <w:rPr>
                      <w:rFonts w:ascii="Palatino Linotype" w:hAnsi="Palatino Linotype" w:cs="Palatino Linotype"/>
                      <w:i/>
                      <w:sz w:val="20"/>
                      <w:szCs w:val="20"/>
                      <w:lang w:val="en-GB" w:eastAsia="zh-CN"/>
                    </w:rPr>
                    <w:t xml:space="preserve"> mbic8f600v@pec.istruzione.it</w:t>
                  </w:r>
                  <w:r w:rsidRPr="00A7140B">
                    <w:rPr>
                      <w:rFonts w:ascii="Palatino Linotype" w:hAnsi="Palatino Linotype" w:cs="Palatino Linotype"/>
                      <w:sz w:val="20"/>
                      <w:szCs w:val="20"/>
                      <w:lang w:val="en-GB" w:eastAsia="zh-CN"/>
                    </w:rPr>
                    <w:t xml:space="preserve">             </w:t>
                  </w:r>
                </w:p>
                <w:p w14:paraId="11E0CA04" w14:textId="150521A2" w:rsidR="00A7140B" w:rsidRPr="00A7140B" w:rsidRDefault="00A7140B" w:rsidP="00A7140B">
                  <w:pPr>
                    <w:tabs>
                      <w:tab w:val="left" w:pos="3685"/>
                      <w:tab w:val="left" w:pos="4394"/>
                    </w:tabs>
                    <w:suppressAutoHyphens/>
                    <w:jc w:val="center"/>
                    <w:rPr>
                      <w:szCs w:val="20"/>
                      <w:lang w:eastAsia="zh-CN"/>
                    </w:rPr>
                  </w:pPr>
                </w:p>
              </w:tc>
            </w:tr>
          </w:tbl>
          <w:p w14:paraId="3732A8D6" w14:textId="243B7995" w:rsidR="000D48D8" w:rsidRPr="00A7140B" w:rsidRDefault="000D48D8" w:rsidP="00A714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1F4E79" w:themeColor="accent5" w:themeShade="80"/>
                <w:sz w:val="36"/>
                <w:szCs w:val="36"/>
              </w:rPr>
            </w:pPr>
          </w:p>
        </w:tc>
      </w:tr>
      <w:tr w:rsidR="000D48D8" w:rsidRPr="009D299B" w14:paraId="0938C49C" w14:textId="77777777" w:rsidTr="002876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7" w:type="dxa"/>
            <w:vAlign w:val="center"/>
          </w:tcPr>
          <w:p w14:paraId="38DA558A" w14:textId="77777777" w:rsidR="00A7140B" w:rsidRDefault="00A7140B" w:rsidP="00A714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iCs/>
                <w:sz w:val="36"/>
                <w:szCs w:val="36"/>
              </w:rPr>
            </w:pPr>
          </w:p>
          <w:p w14:paraId="3E1DEB19" w14:textId="7C7BEA59" w:rsidR="00A7140B" w:rsidRPr="00A7140B" w:rsidRDefault="00A7140B" w:rsidP="00A714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36"/>
                <w:szCs w:val="36"/>
              </w:rPr>
            </w:pPr>
            <w:r w:rsidRPr="00A7140B">
              <w:rPr>
                <w:rFonts w:asciiTheme="minorHAnsi" w:hAnsiTheme="minorHAnsi" w:cstheme="minorHAnsi"/>
                <w:iCs/>
                <w:sz w:val="36"/>
                <w:szCs w:val="36"/>
              </w:rPr>
              <w:t>REGOLAMENTO DI ISTITUTO</w:t>
            </w:r>
          </w:p>
          <w:p w14:paraId="56E0E00E" w14:textId="247E1C33" w:rsidR="00A7140B" w:rsidRDefault="00933544" w:rsidP="00A714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36"/>
                <w:szCs w:val="36"/>
              </w:rPr>
            </w:pPr>
            <w:r w:rsidRPr="00A7140B">
              <w:rPr>
                <w:rFonts w:asciiTheme="minorHAnsi" w:hAnsiTheme="minorHAnsi" w:cstheme="minorHAnsi"/>
                <w:iCs/>
                <w:sz w:val="36"/>
                <w:szCs w:val="36"/>
              </w:rPr>
              <w:t xml:space="preserve">NORME INTEGRATIVE </w:t>
            </w:r>
            <w:r w:rsidR="00FD0C7B">
              <w:rPr>
                <w:rFonts w:asciiTheme="minorHAnsi" w:hAnsiTheme="minorHAnsi" w:cstheme="minorHAnsi"/>
                <w:iCs/>
                <w:sz w:val="36"/>
                <w:szCs w:val="36"/>
              </w:rPr>
              <w:t>PER L’</w:t>
            </w:r>
            <w:r w:rsidRPr="00A7140B">
              <w:rPr>
                <w:rFonts w:asciiTheme="minorHAnsi" w:hAnsiTheme="minorHAnsi" w:cstheme="minorHAnsi"/>
                <w:iCs/>
                <w:sz w:val="36"/>
                <w:szCs w:val="36"/>
              </w:rPr>
              <w:t>EMERGENZA COVID</w:t>
            </w:r>
          </w:p>
          <w:p w14:paraId="37CE87B4" w14:textId="58C499EC" w:rsidR="00A7140B" w:rsidRPr="00A7140B" w:rsidRDefault="00A7140B" w:rsidP="00A714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A7140B">
              <w:rPr>
                <w:rFonts w:asciiTheme="minorHAnsi" w:hAnsiTheme="minorHAnsi" w:cstheme="minorHAnsi"/>
                <w:iCs/>
              </w:rPr>
              <w:t xml:space="preserve">Approvato dal Consiglio di Istituto con delibera n. </w:t>
            </w:r>
            <w:r w:rsidR="0052392D">
              <w:rPr>
                <w:rFonts w:asciiTheme="minorHAnsi" w:hAnsiTheme="minorHAnsi" w:cstheme="minorHAnsi"/>
                <w:iCs/>
              </w:rPr>
              <w:t xml:space="preserve">26 </w:t>
            </w:r>
            <w:r w:rsidRPr="00A7140B">
              <w:rPr>
                <w:rFonts w:asciiTheme="minorHAnsi" w:hAnsiTheme="minorHAnsi" w:cstheme="minorHAnsi"/>
                <w:iCs/>
              </w:rPr>
              <w:t>del 17/09/2020</w:t>
            </w:r>
          </w:p>
        </w:tc>
      </w:tr>
      <w:tr w:rsidR="000D48D8" w:rsidRPr="00A7140B" w14:paraId="43FF8314" w14:textId="77777777" w:rsidTr="0028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7" w:type="dxa"/>
            <w:vAlign w:val="center"/>
          </w:tcPr>
          <w:p w14:paraId="202117C2" w14:textId="5FF6FE4D" w:rsidR="00A7140B" w:rsidRDefault="00A7140B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 w:val="0"/>
                <w:iCs/>
              </w:rPr>
            </w:pPr>
          </w:p>
          <w:p w14:paraId="2186BE7E" w14:textId="77777777" w:rsidR="006F17A0" w:rsidRPr="006F17A0" w:rsidRDefault="006F17A0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  <w:p w14:paraId="61DB3B55" w14:textId="1CAC7C16" w:rsidR="000D48D8" w:rsidRPr="006F17A0" w:rsidRDefault="00933544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Le disposizioni che seguono, elaborate in collaborazione con il Medico Competente ed il Responsabile del S.P.P., integrano il Regolamento di Istituto in vigenza dello stato di emergenza </w:t>
            </w:r>
            <w:r w:rsidR="00B0250E" w:rsidRPr="006F17A0">
              <w:rPr>
                <w:rFonts w:asciiTheme="minorHAnsi" w:hAnsiTheme="minorHAnsi" w:cstheme="minorHAnsi"/>
                <w:b w:val="0"/>
                <w:iCs/>
              </w:rPr>
              <w:t>epidemiologica da Sars-</w:t>
            </w:r>
            <w:r w:rsidR="00860561" w:rsidRPr="006F17A0">
              <w:rPr>
                <w:rFonts w:asciiTheme="minorHAnsi" w:hAnsiTheme="minorHAnsi" w:cstheme="minorHAnsi"/>
                <w:b w:val="0"/>
                <w:iCs/>
              </w:rPr>
              <w:t>Cov2.</w:t>
            </w:r>
          </w:p>
          <w:p w14:paraId="32802198" w14:textId="4946BE8A" w:rsidR="000D48D8" w:rsidRDefault="000D48D8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 w:val="0"/>
                <w:iCs/>
              </w:rPr>
            </w:pPr>
          </w:p>
          <w:p w14:paraId="3A089B03" w14:textId="77777777" w:rsidR="006F17A0" w:rsidRPr="006F17A0" w:rsidRDefault="006F17A0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  <w:p w14:paraId="697694A6" w14:textId="084D67FB" w:rsidR="001F3992" w:rsidRPr="006F17A0" w:rsidRDefault="001F3992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1</w:t>
            </w:r>
          </w:p>
          <w:p w14:paraId="3FBA4A92" w14:textId="6AD9296E" w:rsidR="00BC548D" w:rsidRPr="006F17A0" w:rsidRDefault="00780A7B" w:rsidP="006F17A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E’ fatto divieto di accesso ai locali scolastici a chiunque (esclusi bambini di età inferiore ai sei anni) non indossi una mascherina e a chiunque</w:t>
            </w:r>
            <w:r w:rsidR="00BC548D" w:rsidRPr="006F17A0">
              <w:rPr>
                <w:rFonts w:asciiTheme="minorHAnsi" w:hAnsiTheme="minorHAnsi" w:cstheme="minorHAnsi"/>
                <w:b w:val="0"/>
                <w:iCs/>
              </w:rPr>
              <w:t xml:space="preserve"> in presenza di:</w:t>
            </w:r>
          </w:p>
          <w:p w14:paraId="0D061D17" w14:textId="5E1267D5" w:rsidR="00BC548D" w:rsidRPr="006F17A0" w:rsidRDefault="00BC548D" w:rsidP="006F17A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13" w:hanging="357"/>
              <w:jc w:val="both"/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</w:pPr>
            <w:r w:rsidRPr="006F17A0"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  <w:t>Stato febbrile (temperatura maggiore di 37,5°), infezione respiratoria o sintomatologia respiratoria anche nei tre giorni precedenti;</w:t>
            </w:r>
          </w:p>
          <w:p w14:paraId="3E96B713" w14:textId="03263325" w:rsidR="00BC548D" w:rsidRPr="006F17A0" w:rsidRDefault="00BC548D" w:rsidP="006F17A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13" w:hanging="357"/>
              <w:jc w:val="both"/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</w:pPr>
            <w:r w:rsidRPr="006F17A0"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  <w:t>divieto di uscire dal proprio domicilio disposto dalle Autorità competenti, quarantena o isolamento domiciliare;</w:t>
            </w:r>
          </w:p>
          <w:p w14:paraId="36FA24D3" w14:textId="6B84C0F8" w:rsidR="00BC548D" w:rsidRPr="006F17A0" w:rsidRDefault="00BC548D" w:rsidP="006F17A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13" w:hanging="357"/>
              <w:jc w:val="both"/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</w:pPr>
            <w:r w:rsidRPr="006F17A0"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  <w:t>contatto con persone positive, per quanto di propria conoscenza, negli ultimi 14 giorni</w:t>
            </w:r>
            <w:r w:rsidR="0055195B" w:rsidRPr="006F17A0"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  <w:t>;</w:t>
            </w:r>
          </w:p>
          <w:p w14:paraId="5EEBE294" w14:textId="77777777" w:rsidR="00D71F8F" w:rsidRPr="006F17A0" w:rsidRDefault="00D71F8F" w:rsidP="006F17A0">
            <w:pPr>
              <w:pStyle w:val="Paragrafoelenco"/>
              <w:autoSpaceDE w:val="0"/>
              <w:autoSpaceDN w:val="0"/>
              <w:adjustRightInd w:val="0"/>
              <w:ind w:left="1313"/>
              <w:jc w:val="both"/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</w:pPr>
          </w:p>
          <w:p w14:paraId="760FE038" w14:textId="463678F1" w:rsidR="001F3992" w:rsidRPr="006F17A0" w:rsidRDefault="001F3992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2</w:t>
            </w:r>
          </w:p>
          <w:p w14:paraId="75BF43F7" w14:textId="2CD12D14" w:rsidR="0055195B" w:rsidRPr="006F17A0" w:rsidRDefault="0055195B" w:rsidP="006F17A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All’ingresso nell’edificio è obbligatoria per tutti la sanificazione delle mani e, per gli esterni</w:t>
            </w:r>
            <w:r w:rsidR="00B0250E" w:rsidRPr="006F17A0">
              <w:rPr>
                <w:rFonts w:asciiTheme="minorHAnsi" w:hAnsiTheme="minorHAnsi" w:cstheme="minorHAnsi"/>
                <w:b w:val="0"/>
                <w:iCs/>
              </w:rPr>
              <w:t xml:space="preserve"> ed il personale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>, la misurazione della temperatura corporea tramite termoscanner</w:t>
            </w:r>
            <w:r w:rsidR="008B4BA5">
              <w:rPr>
                <w:rFonts w:asciiTheme="minorHAnsi" w:hAnsiTheme="minorHAnsi" w:cstheme="minorHAnsi"/>
                <w:b w:val="0"/>
                <w:iCs/>
              </w:rPr>
              <w:t>. Anche gli alunni potranno essere sottoposti alla misurazione della temperatura corporea, all’ingresso o durante la giornata scolastica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; </w:t>
            </w:r>
          </w:p>
          <w:p w14:paraId="78DE5BF9" w14:textId="32CA7FE1" w:rsidR="00D71F8F" w:rsidRPr="006F17A0" w:rsidRDefault="00D71F8F" w:rsidP="006F17A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  <w:p w14:paraId="1D98BBC6" w14:textId="7B75AD15" w:rsidR="001F3992" w:rsidRPr="006F17A0" w:rsidRDefault="001F3992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3</w:t>
            </w:r>
          </w:p>
          <w:p w14:paraId="2A5E1458" w14:textId="030AA586" w:rsidR="00860561" w:rsidRPr="006F17A0" w:rsidRDefault="0055195B" w:rsidP="006F17A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All’interno dei locali scolastici, gli studenti della scuola primaria e secondaria e il personale devono </w:t>
            </w:r>
            <w:r w:rsidR="000D48D8" w:rsidRPr="006F17A0">
              <w:rPr>
                <w:rFonts w:asciiTheme="minorHAnsi" w:hAnsiTheme="minorHAnsi" w:cstheme="minorHAnsi"/>
                <w:b w:val="0"/>
                <w:iCs/>
              </w:rPr>
              <w:t>indossare la mascherina</w:t>
            </w:r>
            <w:r w:rsidR="00780A7B" w:rsidRPr="006F17A0">
              <w:rPr>
                <w:rFonts w:asciiTheme="minorHAnsi" w:hAnsiTheme="minorHAnsi" w:cstheme="minorHAnsi"/>
                <w:b w:val="0"/>
                <w:iCs/>
              </w:rPr>
              <w:t xml:space="preserve"> chirurgica fornita dal Commissariato straordinario per l’emergenza Covid</w:t>
            </w:r>
            <w:r w:rsidR="003265E1" w:rsidRPr="006F17A0">
              <w:rPr>
                <w:rFonts w:asciiTheme="minorHAnsi" w:hAnsiTheme="minorHAnsi" w:cstheme="minorHAnsi"/>
                <w:b w:val="0"/>
                <w:iCs/>
              </w:rPr>
              <w:t xml:space="preserve"> o, in mancanza, una mascherina personale. Per gli studenti l’obbligo decade solo in presenza di distanziamento di</w:t>
            </w:r>
            <w:r w:rsidR="00860561" w:rsidRPr="006F17A0">
              <w:rPr>
                <w:rFonts w:asciiTheme="minorHAnsi" w:hAnsiTheme="minorHAnsi" w:cstheme="minorHAnsi"/>
                <w:b w:val="0"/>
                <w:iCs/>
              </w:rPr>
              <w:t>:</w:t>
            </w:r>
          </w:p>
          <w:p w14:paraId="43FA7B0B" w14:textId="77777777" w:rsidR="00860561" w:rsidRPr="006F17A0" w:rsidRDefault="003265E1" w:rsidP="006F17A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313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1 metro in classe o all’aperto e durante la consumazione dei pasti</w:t>
            </w:r>
            <w:r w:rsidR="00860561" w:rsidRPr="006F17A0">
              <w:rPr>
                <w:rFonts w:asciiTheme="minorHAnsi" w:hAnsiTheme="minorHAnsi" w:cstheme="minorHAnsi"/>
                <w:b w:val="0"/>
                <w:iCs/>
              </w:rPr>
              <w:t>;</w:t>
            </w:r>
          </w:p>
          <w:p w14:paraId="5FBF0DA0" w14:textId="24174320" w:rsidR="00860561" w:rsidRPr="006F17A0" w:rsidRDefault="003265E1" w:rsidP="006F17A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313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2 metri durante le </w:t>
            </w:r>
            <w:r w:rsidR="000D48D8" w:rsidRPr="006F17A0">
              <w:rPr>
                <w:rFonts w:asciiTheme="minorHAnsi" w:hAnsiTheme="minorHAnsi" w:cstheme="minorHAnsi"/>
                <w:b w:val="0"/>
                <w:iCs/>
              </w:rPr>
              <w:t>lezioni di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 </w:t>
            </w:r>
            <w:r w:rsidR="000D48D8" w:rsidRPr="006F17A0">
              <w:rPr>
                <w:rFonts w:asciiTheme="minorHAnsi" w:hAnsiTheme="minorHAnsi" w:cstheme="minorHAnsi"/>
                <w:b w:val="0"/>
                <w:iCs/>
              </w:rPr>
              <w:t xml:space="preserve">educazione fisica 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>e durante le attività coreutiche</w:t>
            </w:r>
            <w:r w:rsidR="008B4BA5">
              <w:rPr>
                <w:rFonts w:asciiTheme="minorHAnsi" w:hAnsiTheme="minorHAnsi" w:cstheme="minorHAnsi"/>
                <w:b w:val="0"/>
                <w:iCs/>
              </w:rPr>
              <w:t xml:space="preserve"> o quando si suonano strumenti a fiato</w:t>
            </w:r>
            <w:r w:rsidR="00860561" w:rsidRPr="006F17A0">
              <w:rPr>
                <w:rFonts w:asciiTheme="minorHAnsi" w:hAnsiTheme="minorHAnsi" w:cstheme="minorHAnsi"/>
                <w:b w:val="0"/>
                <w:iCs/>
              </w:rPr>
              <w:t>;</w:t>
            </w:r>
          </w:p>
          <w:p w14:paraId="78958567" w14:textId="149347BA" w:rsidR="000D48D8" w:rsidRPr="006F17A0" w:rsidRDefault="000D48D8" w:rsidP="006F17A0">
            <w:pPr>
              <w:autoSpaceDE w:val="0"/>
              <w:autoSpaceDN w:val="0"/>
              <w:adjustRightInd w:val="0"/>
              <w:ind w:left="746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Sono</w:t>
            </w:r>
            <w:r w:rsidR="00860561" w:rsidRPr="006F17A0">
              <w:rPr>
                <w:rFonts w:asciiTheme="minorHAnsi" w:hAnsiTheme="minorHAnsi" w:cstheme="minorHAnsi"/>
                <w:b w:val="0"/>
                <w:iCs/>
              </w:rPr>
              <w:t xml:space="preserve"> inoltre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 esonerati gli allievi diversamente abili affetti da patologia che ne impedisca l’uso;</w:t>
            </w:r>
          </w:p>
          <w:p w14:paraId="1B54C7F1" w14:textId="6C7E080C" w:rsidR="00B0250E" w:rsidRPr="006F17A0" w:rsidRDefault="00B0250E" w:rsidP="006F17A0">
            <w:pPr>
              <w:autoSpaceDE w:val="0"/>
              <w:autoSpaceDN w:val="0"/>
              <w:adjustRightInd w:val="0"/>
              <w:ind w:left="746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  <w:p w14:paraId="3A07934B" w14:textId="7881A8B5" w:rsidR="001F3992" w:rsidRPr="006F17A0" w:rsidRDefault="001F3992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4</w:t>
            </w:r>
          </w:p>
          <w:p w14:paraId="0EB399FB" w14:textId="44CD65DE" w:rsidR="000B0214" w:rsidRPr="006F17A0" w:rsidRDefault="00B0250E" w:rsidP="006F17A0">
            <w:pPr>
              <w:pStyle w:val="Paragrafoelenco"/>
              <w:widowControl w:val="0"/>
              <w:tabs>
                <w:tab w:val="left" w:pos="1249"/>
              </w:tabs>
              <w:autoSpaceDE w:val="0"/>
              <w:autoSpaceDN w:val="0"/>
              <w:spacing w:after="120"/>
              <w:ind w:right="682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L’uso della mascherina personale è</w:t>
            </w:r>
            <w:r w:rsidR="008B4BA5">
              <w:rPr>
                <w:rFonts w:asciiTheme="minorHAnsi" w:hAnsiTheme="minorHAnsi" w:cstheme="minorHAnsi"/>
                <w:b w:val="0"/>
                <w:iCs/>
              </w:rPr>
              <w:t xml:space="preserve"> comunque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 consentit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>o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 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 xml:space="preserve">se </w:t>
            </w:r>
            <w:r w:rsidR="00F874B2" w:rsidRPr="006F17A0">
              <w:rPr>
                <w:rFonts w:asciiTheme="minorHAnsi" w:hAnsiTheme="minorHAnsi" w:cstheme="minorHAnsi"/>
                <w:b w:val="0"/>
                <w:iCs/>
              </w:rPr>
              <w:t xml:space="preserve">trattasi di 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 xml:space="preserve">mascherina 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>di tipo chirurgico certificat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 xml:space="preserve">a 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>secondo la normativa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 xml:space="preserve"> </w:t>
            </w:r>
            <w:hyperlink r:id="rId10" w:tgtFrame="_blank" w:history="1">
              <w:r w:rsidR="000B0214" w:rsidRPr="006F17A0">
                <w:rPr>
                  <w:rFonts w:asciiTheme="minorHAnsi" w:hAnsiTheme="minorHAnsi" w:cstheme="minorHAnsi"/>
                  <w:b w:val="0"/>
                  <w:iCs/>
                </w:rPr>
                <w:t>EN</w:t>
              </w:r>
              <w:r w:rsidR="000B0214" w:rsidRPr="006F17A0">
                <w:rPr>
                  <w:rFonts w:asciiTheme="minorHAnsi" w:hAnsiTheme="minorHAnsi" w:cstheme="minorHAnsi"/>
                  <w:b w:val="0"/>
                  <w:iCs/>
                </w:rPr>
                <w:t xml:space="preserve"> </w:t>
              </w:r>
              <w:r w:rsidR="000B0214" w:rsidRPr="006F17A0">
                <w:rPr>
                  <w:rFonts w:asciiTheme="minorHAnsi" w:hAnsiTheme="minorHAnsi" w:cstheme="minorHAnsi"/>
                  <w:b w:val="0"/>
                  <w:iCs/>
                </w:rPr>
                <w:t>14683</w:t>
              </w:r>
            </w:hyperlink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 xml:space="preserve"> 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>e marcat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>a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 xml:space="preserve"> CE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 xml:space="preserve"> come da d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>irettiva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 xml:space="preserve"> </w:t>
            </w:r>
            <w:hyperlink r:id="rId11" w:tgtFrame="_blank" w:history="1">
              <w:r w:rsidR="000B0214" w:rsidRPr="006F17A0">
                <w:rPr>
                  <w:rFonts w:asciiTheme="minorHAnsi" w:hAnsiTheme="minorHAnsi" w:cstheme="minorHAnsi"/>
                  <w:b w:val="0"/>
                  <w:iCs/>
                </w:rPr>
                <w:t>MDD 93/42/EEC</w:t>
              </w:r>
            </w:hyperlink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 xml:space="preserve"> 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 xml:space="preserve">presso il Ministero della Salute o 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 xml:space="preserve">di </w:t>
            </w:r>
            <w:r w:rsidR="000B0214" w:rsidRPr="006F17A0">
              <w:rPr>
                <w:rFonts w:asciiTheme="minorHAnsi" w:hAnsiTheme="minorHAnsi" w:cstheme="minorHAnsi"/>
                <w:b w:val="0"/>
                <w:iCs/>
              </w:rPr>
              <w:t>altro dispositivo riconosciuto e certificato da ente notificato;</w:t>
            </w:r>
          </w:p>
          <w:p w14:paraId="40EEE2D8" w14:textId="5A5207CD" w:rsidR="00B0250E" w:rsidRPr="006F17A0" w:rsidRDefault="001F3992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5</w:t>
            </w:r>
          </w:p>
          <w:p w14:paraId="78B1A3B2" w14:textId="0E0292B1" w:rsidR="000D48D8" w:rsidRPr="006F17A0" w:rsidRDefault="000D48D8" w:rsidP="006F17A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Tutti i presenti, in ogni momento della giornata, devono risultare da appositi registri (registro di classe o del docente, registr</w:t>
            </w:r>
            <w:r w:rsidR="003265E1" w:rsidRPr="006F17A0">
              <w:rPr>
                <w:rFonts w:asciiTheme="minorHAnsi" w:hAnsiTheme="minorHAnsi" w:cstheme="minorHAnsi"/>
                <w:b w:val="0"/>
                <w:iCs/>
              </w:rPr>
              <w:t>i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 degli accessi) al fine di poter ricostruire in modo univoco, su richiesta della Autorità Sanitaria, i contatti che si sono verificati all’interno dei luoghi di lavoro con un eventuale soggetto positivo al virus.</w:t>
            </w:r>
          </w:p>
          <w:p w14:paraId="51E1D70E" w14:textId="180238D0" w:rsidR="000D48D8" w:rsidRPr="006F17A0" w:rsidRDefault="000D48D8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  <w:p w14:paraId="284A4846" w14:textId="0CA12BC0" w:rsidR="001F3992" w:rsidRPr="006F17A0" w:rsidRDefault="001F3992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6</w:t>
            </w:r>
          </w:p>
          <w:p w14:paraId="6004036F" w14:textId="77777777" w:rsidR="000D48D8" w:rsidRPr="006F17A0" w:rsidRDefault="000D48D8" w:rsidP="006F17A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All’interno delle aule didattiche le postazioni devono essere collocate in modo da garantire il distanziamento di 1 metro tra gli allievi (distanza tra le bocche) e di 2 metri tra docente ed allievi.</w:t>
            </w:r>
          </w:p>
          <w:p w14:paraId="1504A0E1" w14:textId="1E18238B" w:rsidR="000D48D8" w:rsidRPr="006F17A0" w:rsidRDefault="000D48D8" w:rsidP="006F17A0">
            <w:pPr>
              <w:pStyle w:val="Paragrafoelenco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  <w:p w14:paraId="1F184737" w14:textId="65FD5620" w:rsidR="001F3992" w:rsidRPr="006F17A0" w:rsidRDefault="001F3992" w:rsidP="006F17A0">
            <w:pPr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7</w:t>
            </w:r>
          </w:p>
          <w:p w14:paraId="6D9C8C43" w14:textId="3754F62C" w:rsidR="000D48D8" w:rsidRPr="006F17A0" w:rsidRDefault="000D48D8" w:rsidP="006F17A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E’ vietato spostare gli arredi in posizione diversa rispetto a quella </w:t>
            </w:r>
            <w:r w:rsidR="007D435B">
              <w:rPr>
                <w:rFonts w:asciiTheme="minorHAnsi" w:hAnsiTheme="minorHAnsi" w:cstheme="minorHAnsi"/>
                <w:b w:val="0"/>
                <w:iCs/>
              </w:rPr>
              <w:t>stabilita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 poiché la stessa è frutto delle misurazioni delle distanze delle postazioni eseguita in applicazione del protocollo</w:t>
            </w:r>
            <w:r w:rsidR="003265E1" w:rsidRPr="006F17A0">
              <w:rPr>
                <w:rFonts w:asciiTheme="minorHAnsi" w:hAnsiTheme="minorHAnsi" w:cstheme="minorHAnsi"/>
                <w:b w:val="0"/>
                <w:iCs/>
              </w:rPr>
              <w:t xml:space="preserve"> elaborato in collaborazione con il Responsabile del S.P.P.</w:t>
            </w:r>
            <w:r w:rsidR="00D71F8F" w:rsidRPr="006F17A0">
              <w:rPr>
                <w:rFonts w:asciiTheme="minorHAnsi" w:hAnsiTheme="minorHAnsi" w:cstheme="minorHAnsi"/>
                <w:b w:val="0"/>
                <w:iCs/>
              </w:rPr>
              <w:t xml:space="preserve"> ed i tecnici comunali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>;</w:t>
            </w:r>
          </w:p>
          <w:p w14:paraId="29BDCCD8" w14:textId="42DDE676" w:rsidR="000D48D8" w:rsidRPr="006F17A0" w:rsidRDefault="000D48D8" w:rsidP="006F17A0">
            <w:pPr>
              <w:pStyle w:val="Paragrafoelenco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  <w:p w14:paraId="55DF18BA" w14:textId="3CA310F0" w:rsidR="001F3992" w:rsidRPr="006F17A0" w:rsidRDefault="001F3992" w:rsidP="006F17A0">
            <w:pPr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8</w:t>
            </w:r>
          </w:p>
          <w:p w14:paraId="71684086" w14:textId="430AD43C" w:rsidR="000D48D8" w:rsidRPr="006F17A0" w:rsidRDefault="003265E1" w:rsidP="006F17A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L’ingresso e l’uscita degli alunni </w:t>
            </w:r>
            <w:r w:rsidR="009C3AEA" w:rsidRPr="006F17A0">
              <w:rPr>
                <w:rFonts w:asciiTheme="minorHAnsi" w:hAnsiTheme="minorHAnsi" w:cstheme="minorHAnsi"/>
                <w:b w:val="0"/>
                <w:iCs/>
              </w:rPr>
              <w:t>devono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 essere </w:t>
            </w:r>
            <w:r w:rsidR="007D435B">
              <w:rPr>
                <w:rFonts w:asciiTheme="minorHAnsi" w:hAnsiTheme="minorHAnsi" w:cstheme="minorHAnsi"/>
                <w:b w:val="0"/>
                <w:iCs/>
              </w:rPr>
              <w:t xml:space="preserve">opportunamente 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>scaglionati in rapporto</w:t>
            </w:r>
            <w:r w:rsidR="009C3AEA" w:rsidRPr="006F17A0">
              <w:rPr>
                <w:rFonts w:asciiTheme="minorHAnsi" w:hAnsiTheme="minorHAnsi" w:cstheme="minorHAnsi"/>
                <w:b w:val="0"/>
                <w:iCs/>
              </w:rPr>
              <w:t xml:space="preserve"> al numero di percorsi disponibili ed all’esigenza di limitare gli assembramenti</w:t>
            </w:r>
            <w:r w:rsidR="000D48D8" w:rsidRPr="006F17A0">
              <w:rPr>
                <w:rFonts w:asciiTheme="minorHAnsi" w:hAnsiTheme="minorHAnsi" w:cstheme="minorHAnsi"/>
                <w:b w:val="0"/>
                <w:iCs/>
              </w:rPr>
              <w:t>;</w:t>
            </w:r>
            <w:r w:rsidR="009C3AEA" w:rsidRPr="006F17A0">
              <w:rPr>
                <w:rFonts w:asciiTheme="minorHAnsi" w:hAnsiTheme="minorHAnsi" w:cstheme="minorHAnsi"/>
                <w:b w:val="0"/>
                <w:iCs/>
              </w:rPr>
              <w:t xml:space="preserve"> Allo stesso modo deve essere programmato l’utilizzo dei servizi igienici e degli spazi comuni.</w:t>
            </w:r>
          </w:p>
          <w:p w14:paraId="47804E83" w14:textId="56CD92DD" w:rsidR="000D48D8" w:rsidRPr="006F17A0" w:rsidRDefault="000D48D8" w:rsidP="006F17A0">
            <w:pPr>
              <w:pStyle w:val="Paragrafoelenco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  <w:p w14:paraId="278813A9" w14:textId="5DD57C5E" w:rsidR="001F3992" w:rsidRPr="006F17A0" w:rsidRDefault="001F3992" w:rsidP="006F17A0">
            <w:pPr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9</w:t>
            </w:r>
          </w:p>
          <w:p w14:paraId="2050DEEB" w14:textId="77777777" w:rsidR="000D48D8" w:rsidRPr="006F17A0" w:rsidRDefault="000D48D8" w:rsidP="006F17A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Lo scambio di materiale tra allievi e tra allievi e docente deve essere minimizzato a favore di un uso individuale di ogni oggetto (penna, gomma, matita, giochi etc.)</w:t>
            </w:r>
          </w:p>
          <w:p w14:paraId="5984A35A" w14:textId="62110C05" w:rsidR="000D48D8" w:rsidRPr="006F17A0" w:rsidRDefault="000D48D8" w:rsidP="006F17A0">
            <w:pPr>
              <w:pStyle w:val="Paragrafoelenco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  <w:p w14:paraId="43070EE8" w14:textId="08A9D2CF" w:rsidR="001F3992" w:rsidRPr="006F17A0" w:rsidRDefault="001F3992" w:rsidP="006F17A0">
            <w:pPr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10</w:t>
            </w:r>
          </w:p>
          <w:p w14:paraId="507BA68F" w14:textId="6C483141" w:rsidR="000D48D8" w:rsidRPr="006F17A0" w:rsidRDefault="000D48D8" w:rsidP="006F17A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I locali scolastici non devono essere aperti all’uso da parte di terzi</w:t>
            </w:r>
            <w:r w:rsidR="009C3AEA" w:rsidRPr="006F17A0">
              <w:rPr>
                <w:rFonts w:asciiTheme="minorHAnsi" w:hAnsiTheme="minorHAnsi" w:cstheme="minorHAnsi"/>
                <w:b w:val="0"/>
                <w:iCs/>
              </w:rPr>
              <w:t>;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 qualora questo dovesse accadere</w:t>
            </w:r>
            <w:r w:rsidR="009C3AEA" w:rsidRPr="006F17A0">
              <w:rPr>
                <w:rFonts w:asciiTheme="minorHAnsi" w:hAnsiTheme="minorHAnsi" w:cstheme="minorHAnsi"/>
                <w:b w:val="0"/>
                <w:iCs/>
              </w:rPr>
              <w:t xml:space="preserve"> (</w:t>
            </w:r>
            <w:r w:rsidR="00A23707" w:rsidRPr="006F17A0">
              <w:rPr>
                <w:rFonts w:asciiTheme="minorHAnsi" w:hAnsiTheme="minorHAnsi" w:cstheme="minorHAnsi"/>
                <w:b w:val="0"/>
                <w:iCs/>
              </w:rPr>
              <w:t xml:space="preserve">anche, </w:t>
            </w:r>
            <w:r w:rsidR="009C3AEA" w:rsidRPr="006F17A0">
              <w:rPr>
                <w:rFonts w:asciiTheme="minorHAnsi" w:hAnsiTheme="minorHAnsi" w:cstheme="minorHAnsi"/>
                <w:b w:val="0"/>
                <w:iCs/>
              </w:rPr>
              <w:t>ad esempio</w:t>
            </w:r>
            <w:r w:rsidR="00A23707" w:rsidRPr="006F17A0">
              <w:rPr>
                <w:rFonts w:asciiTheme="minorHAnsi" w:hAnsiTheme="minorHAnsi" w:cstheme="minorHAnsi"/>
                <w:b w:val="0"/>
                <w:iCs/>
              </w:rPr>
              <w:t>,</w:t>
            </w:r>
            <w:r w:rsidR="009C3AEA" w:rsidRPr="006F17A0">
              <w:rPr>
                <w:rFonts w:asciiTheme="minorHAnsi" w:hAnsiTheme="minorHAnsi" w:cstheme="minorHAnsi"/>
                <w:b w:val="0"/>
                <w:iCs/>
              </w:rPr>
              <w:t xml:space="preserve"> su iniziativa dell’Ente Locale proprietario degli immobili)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 è necessario </w:t>
            </w:r>
            <w:r w:rsidR="009C3AEA" w:rsidRPr="006F17A0">
              <w:rPr>
                <w:rFonts w:asciiTheme="minorHAnsi" w:hAnsiTheme="minorHAnsi" w:cstheme="minorHAnsi"/>
                <w:b w:val="0"/>
                <w:iCs/>
              </w:rPr>
              <w:t>accertarsi della presenza di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 un preciso protocollo di sicurezza che vada nella direzione della minimizzazione delle interferenze e che chiarisca precisamente a chi tocchi la sanificazione degli ambienti, superfici e oggetti dopo ogni uso;</w:t>
            </w:r>
          </w:p>
          <w:p w14:paraId="32B1A73F" w14:textId="7609096A" w:rsidR="000D48D8" w:rsidRPr="006F17A0" w:rsidRDefault="000D48D8" w:rsidP="006F17A0">
            <w:pPr>
              <w:pStyle w:val="Paragrafoelenco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  <w:p w14:paraId="53BB2CE1" w14:textId="624EDDED" w:rsidR="001F3992" w:rsidRPr="006F17A0" w:rsidRDefault="001F3992" w:rsidP="006F17A0">
            <w:pPr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11</w:t>
            </w:r>
          </w:p>
          <w:p w14:paraId="6469F9EB" w14:textId="68E9E917" w:rsidR="000D48D8" w:rsidRPr="006F17A0" w:rsidRDefault="000D48D8" w:rsidP="006F17A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Le riunioni, i collegi, la programmazione ed ogni altra attività collettiva deve essere svolta in modalità agile (a distanza) ed eccezionalmente in presenza se gli spazi individuati risultano idonei ad un</w:t>
            </w:r>
            <w:r w:rsidR="00B0250E" w:rsidRPr="006F17A0">
              <w:rPr>
                <w:rFonts w:asciiTheme="minorHAnsi" w:hAnsiTheme="minorHAnsi" w:cstheme="minorHAnsi"/>
                <w:b w:val="0"/>
                <w:iCs/>
              </w:rPr>
              <w:t xml:space="preserve"> adeguato distanziamento tra 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>gli intervenuti.</w:t>
            </w:r>
          </w:p>
          <w:p w14:paraId="0D37E397" w14:textId="06A4BA7F" w:rsidR="000D48D8" w:rsidRPr="006F17A0" w:rsidRDefault="000D48D8" w:rsidP="006F17A0">
            <w:pPr>
              <w:pStyle w:val="Paragrafoelenco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  <w:p w14:paraId="7893551A" w14:textId="3B4138B4" w:rsidR="001F3992" w:rsidRPr="006F17A0" w:rsidRDefault="001F3992" w:rsidP="006F17A0">
            <w:pPr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12</w:t>
            </w:r>
          </w:p>
          <w:p w14:paraId="3422DE37" w14:textId="5DB18470" w:rsidR="000D48D8" w:rsidRPr="006F17A0" w:rsidRDefault="000D48D8" w:rsidP="006F17A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E’ fatto divieto ad allievi e personale di portare oggetti da casa se non quanto strettamente necessario (device, borse, zaini e materiale didattico etc.) che però deve intendersi ad uso esclusivamente personale.</w:t>
            </w:r>
          </w:p>
          <w:p w14:paraId="75FC2841" w14:textId="502913DA" w:rsidR="000B0214" w:rsidRPr="006F17A0" w:rsidRDefault="000B0214" w:rsidP="006F17A0">
            <w:pPr>
              <w:pStyle w:val="Paragrafoelenco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  <w:p w14:paraId="52EB7074" w14:textId="1305BBA1" w:rsidR="001F3992" w:rsidRPr="006F17A0" w:rsidRDefault="001F3992" w:rsidP="006F17A0">
            <w:pPr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>Art. 13</w:t>
            </w:r>
          </w:p>
          <w:p w14:paraId="539BE965" w14:textId="7D477C89" w:rsidR="000B0214" w:rsidRPr="006F17A0" w:rsidRDefault="000B0214" w:rsidP="006F17A0">
            <w:pPr>
              <w:ind w:left="736"/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Il dipendente che dovesse manifestare sintomi di infezione da Sars-Cov2 durante il servizio deve lasciare la scuola e rivolgersi al proprio medico curante; analogamente l’alunna/o deve essere riportato a casa dalla famiglia che </w:t>
            </w:r>
            <w:r w:rsidR="007D435B">
              <w:rPr>
                <w:rFonts w:asciiTheme="minorHAnsi" w:hAnsiTheme="minorHAnsi" w:cstheme="minorHAnsi"/>
                <w:b w:val="0"/>
                <w:iCs/>
              </w:rPr>
              <w:t>dovrà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 xml:space="preserve"> immediatamente ad informare il P</w:t>
            </w:r>
            <w:r w:rsidR="001F3992" w:rsidRPr="006F17A0">
              <w:rPr>
                <w:rFonts w:asciiTheme="minorHAnsi" w:hAnsiTheme="minorHAnsi" w:cstheme="minorHAnsi"/>
                <w:b w:val="0"/>
                <w:iCs/>
              </w:rPr>
              <w:t xml:space="preserve">ediatra di 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>L</w:t>
            </w:r>
            <w:r w:rsidR="001F3992" w:rsidRPr="006F17A0">
              <w:rPr>
                <w:rFonts w:asciiTheme="minorHAnsi" w:hAnsiTheme="minorHAnsi" w:cstheme="minorHAnsi"/>
                <w:b w:val="0"/>
                <w:iCs/>
              </w:rPr>
              <w:t xml:space="preserve">ibera 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>S</w:t>
            </w:r>
            <w:r w:rsidR="001F3992" w:rsidRPr="006F17A0">
              <w:rPr>
                <w:rFonts w:asciiTheme="minorHAnsi" w:hAnsiTheme="minorHAnsi" w:cstheme="minorHAnsi"/>
                <w:b w:val="0"/>
                <w:iCs/>
              </w:rPr>
              <w:t xml:space="preserve">celta oppure il </w:t>
            </w:r>
            <w:r w:rsidRPr="006F17A0">
              <w:rPr>
                <w:rFonts w:asciiTheme="minorHAnsi" w:hAnsiTheme="minorHAnsi" w:cstheme="minorHAnsi"/>
                <w:b w:val="0"/>
                <w:iCs/>
              </w:rPr>
              <w:t>M</w:t>
            </w:r>
            <w:r w:rsidR="001F3992" w:rsidRPr="006F17A0">
              <w:rPr>
                <w:rFonts w:asciiTheme="minorHAnsi" w:hAnsiTheme="minorHAnsi" w:cstheme="minorHAnsi"/>
                <w:b w:val="0"/>
                <w:iCs/>
              </w:rPr>
              <w:t xml:space="preserve">edico di </w:t>
            </w: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M</w:t>
            </w:r>
            <w:r w:rsidR="001F3992"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edicina </w:t>
            </w: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G</w:t>
            </w:r>
            <w:r w:rsidR="001F3992"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enerale</w:t>
            </w: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. </w:t>
            </w: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L</w:t>
            </w:r>
            <w:r w:rsidR="005E74E4"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’individuazione del caso di sospetta infezione da Sars-Cov2 avviene in presenza di almeno uno dei seguenti sintomi</w:t>
            </w: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:</w:t>
            </w:r>
          </w:p>
          <w:p w14:paraId="1F55A308" w14:textId="77777777" w:rsidR="000B0214" w:rsidRPr="006F17A0" w:rsidRDefault="000B0214" w:rsidP="006F17A0">
            <w:pPr>
              <w:pStyle w:val="Default"/>
              <w:numPr>
                <w:ilvl w:val="1"/>
                <w:numId w:val="5"/>
              </w:numPr>
              <w:ind w:left="2012"/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SINTOMI RESPIRATORI (TOSSE, MAL DI GOLA, RAFFREDDORE)</w:t>
            </w:r>
          </w:p>
          <w:p w14:paraId="335C2D7E" w14:textId="77777777" w:rsidR="000B0214" w:rsidRPr="006F17A0" w:rsidRDefault="000B0214" w:rsidP="006F17A0">
            <w:pPr>
              <w:pStyle w:val="Default"/>
              <w:numPr>
                <w:ilvl w:val="1"/>
                <w:numId w:val="5"/>
              </w:numPr>
              <w:ind w:left="2012"/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DISSENTERIA </w:t>
            </w:r>
          </w:p>
          <w:p w14:paraId="724A0E77" w14:textId="77777777" w:rsidR="000B0214" w:rsidRPr="006F17A0" w:rsidRDefault="000B0214" w:rsidP="006F17A0">
            <w:pPr>
              <w:pStyle w:val="Default"/>
              <w:numPr>
                <w:ilvl w:val="1"/>
                <w:numId w:val="5"/>
              </w:numPr>
              <w:ind w:left="2012"/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CONGIUNTIVITE </w:t>
            </w:r>
          </w:p>
          <w:p w14:paraId="1E19E750" w14:textId="77777777" w:rsidR="000B0214" w:rsidRPr="006F17A0" w:rsidRDefault="000B0214" w:rsidP="006F17A0">
            <w:pPr>
              <w:pStyle w:val="Default"/>
              <w:numPr>
                <w:ilvl w:val="1"/>
                <w:numId w:val="5"/>
              </w:numPr>
              <w:ind w:left="2012"/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FORTE MAL DI TESTA </w:t>
            </w:r>
          </w:p>
          <w:p w14:paraId="62CBBA1B" w14:textId="77777777" w:rsidR="000B0214" w:rsidRPr="006F17A0" w:rsidRDefault="000B0214" w:rsidP="006F17A0">
            <w:pPr>
              <w:pStyle w:val="Default"/>
              <w:numPr>
                <w:ilvl w:val="1"/>
                <w:numId w:val="5"/>
              </w:numPr>
              <w:ind w:left="2012"/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ANOSMIA (PERDITA OLFATTO) </w:t>
            </w:r>
          </w:p>
          <w:p w14:paraId="3CAF9A0A" w14:textId="77777777" w:rsidR="000B0214" w:rsidRPr="006F17A0" w:rsidRDefault="000B0214" w:rsidP="006F17A0">
            <w:pPr>
              <w:pStyle w:val="Default"/>
              <w:numPr>
                <w:ilvl w:val="1"/>
                <w:numId w:val="5"/>
              </w:numPr>
              <w:ind w:left="2012"/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AGEUSIA (PERDITA GUSTO) </w:t>
            </w:r>
          </w:p>
          <w:p w14:paraId="37B5519E" w14:textId="77777777" w:rsidR="000B0214" w:rsidRPr="006F17A0" w:rsidRDefault="000B0214" w:rsidP="006F17A0">
            <w:pPr>
              <w:pStyle w:val="Default"/>
              <w:numPr>
                <w:ilvl w:val="1"/>
                <w:numId w:val="5"/>
              </w:numPr>
              <w:ind w:left="2012"/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DOLORI MUSCOLARI </w:t>
            </w:r>
          </w:p>
          <w:p w14:paraId="4208E806" w14:textId="77777777" w:rsidR="000B0214" w:rsidRPr="006F17A0" w:rsidRDefault="000B0214" w:rsidP="006F17A0">
            <w:pPr>
              <w:pStyle w:val="Default"/>
              <w:numPr>
                <w:ilvl w:val="1"/>
                <w:numId w:val="5"/>
              </w:numPr>
              <w:ind w:left="2012"/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DISPNEA (DIFFICOLTA RESPIRATORIA, AFFANNO) </w:t>
            </w:r>
          </w:p>
          <w:p w14:paraId="6ABA0EE9" w14:textId="2586D0E5" w:rsidR="000B0214" w:rsidRPr="006F17A0" w:rsidRDefault="000B0214" w:rsidP="006F17A0">
            <w:pPr>
              <w:pStyle w:val="Default"/>
              <w:numPr>
                <w:ilvl w:val="1"/>
                <w:numId w:val="5"/>
              </w:numPr>
              <w:ind w:left="2012"/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FEBBRE ≥ 37,5° </w:t>
            </w:r>
          </w:p>
          <w:p w14:paraId="40089B43" w14:textId="25392A6A" w:rsidR="00323ADF" w:rsidRPr="006F17A0" w:rsidRDefault="00323ADF" w:rsidP="006F17A0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</w:p>
          <w:p w14:paraId="1D1CEC84" w14:textId="388EDA61" w:rsidR="00323ADF" w:rsidRPr="006F17A0" w:rsidRDefault="00323ADF" w:rsidP="006F17A0">
            <w:pPr>
              <w:pStyle w:val="Default"/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Art.14</w:t>
            </w:r>
          </w:p>
          <w:p w14:paraId="0A35CA06" w14:textId="388EDA61" w:rsidR="005E74E4" w:rsidRPr="006F17A0" w:rsidRDefault="005E74E4" w:rsidP="006F17A0">
            <w:pPr>
              <w:pStyle w:val="Paragrafoelenco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In caso di assenze brevi, le famiglie dovranno 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produrre 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giustifica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zione scritta 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indicando la motivazione:</w:t>
            </w:r>
          </w:p>
          <w:p w14:paraId="4C94101C" w14:textId="494B7B6B" w:rsidR="005E74E4" w:rsidRPr="006F17A0" w:rsidRDefault="005E74E4" w:rsidP="006F17A0">
            <w:pPr>
              <w:pStyle w:val="Paragrafoelenco"/>
              <w:numPr>
                <w:ilvl w:val="0"/>
                <w:numId w:val="7"/>
              </w:numPr>
              <w:ind w:left="2012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Motivi personali o di famiglia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;</w:t>
            </w:r>
          </w:p>
          <w:p w14:paraId="673AEA65" w14:textId="6FCA91B5" w:rsidR="005E74E4" w:rsidRPr="006F17A0" w:rsidRDefault="005E74E4" w:rsidP="006F17A0">
            <w:pPr>
              <w:pStyle w:val="Paragrafoelenco"/>
              <w:numPr>
                <w:ilvl w:val="0"/>
                <w:numId w:val="7"/>
              </w:numPr>
              <w:ind w:left="2012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Motivi di salute NON riconducibili all’infezione da Sars-Covid2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;</w:t>
            </w:r>
          </w:p>
          <w:p w14:paraId="5A3F17EE" w14:textId="706D3CF7" w:rsidR="005E74E4" w:rsidRPr="006F17A0" w:rsidRDefault="006E1F21" w:rsidP="006F17A0">
            <w:pPr>
              <w:ind w:left="736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In presenza di uno dei sintomi di cui al precedente art. 13, la famiglia deve consultare </w:t>
            </w:r>
            <w:r w:rsidR="005E74E4"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il </w:t>
            </w:r>
            <w:r w:rsidR="001F3992"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Pediatra di Libera Scelta oppure il Medico di Medicina Generale</w:t>
            </w:r>
            <w:r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.</w:t>
            </w:r>
          </w:p>
          <w:p w14:paraId="217B321F" w14:textId="6ACA8ABA" w:rsidR="005E74E4" w:rsidRPr="006F17A0" w:rsidRDefault="005E74E4" w:rsidP="006F17A0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</w:p>
          <w:p w14:paraId="7738E3F3" w14:textId="4A777162" w:rsidR="00323ADF" w:rsidRPr="006F17A0" w:rsidRDefault="00323ADF" w:rsidP="006F17A0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Art.15</w:t>
            </w:r>
          </w:p>
          <w:p w14:paraId="1D89F3C7" w14:textId="789A1715" w:rsidR="000D48D8" w:rsidRPr="006F17A0" w:rsidRDefault="005E74E4" w:rsidP="006F17A0">
            <w:pPr>
              <w:ind w:left="736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Nel caso</w:t>
            </w:r>
            <w:r w:rsidR="007D435B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la presenza di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sintomi venga</w:t>
            </w:r>
            <w:r w:rsidR="007D435B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rilevata a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scuola e non si proced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a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con </w:t>
            </w:r>
            <w:r w:rsidR="007D435B">
              <w:rPr>
                <w:rFonts w:asciiTheme="minorHAnsi" w:hAnsiTheme="minorHAnsi" w:cstheme="minorHAnsi"/>
                <w:b w:val="0"/>
                <w:color w:val="000000" w:themeColor="text1"/>
              </w:rPr>
              <w:t>la verifica dell’eventuale positività tramite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tampone, la famiglia 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è tenuta a 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dichiara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re di aver 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consultato il </w:t>
            </w:r>
            <w:r w:rsidR="001F3992"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Pediatra di Libera Scelta oppure il Medico di Medicina Generale</w:t>
            </w:r>
            <w:r w:rsidR="007D435B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che</w:t>
            </w:r>
            <w:r w:rsidR="007D435B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valutat</w:t>
            </w:r>
            <w:r w:rsidR="007D435B">
              <w:rPr>
                <w:rFonts w:asciiTheme="minorHAnsi" w:hAnsiTheme="minorHAnsi" w:cstheme="minorHAnsi"/>
                <w:b w:val="0"/>
                <w:color w:val="000000" w:themeColor="text1"/>
              </w:rPr>
              <w:t>a la sintomatologia,</w:t>
            </w:r>
            <w:r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="001F3992" w:rsidRPr="006F17A0">
              <w:rPr>
                <w:rFonts w:asciiTheme="minorHAnsi" w:hAnsiTheme="minorHAnsi" w:cstheme="minorHAnsi"/>
                <w:b w:val="0"/>
                <w:color w:val="000000" w:themeColor="text1"/>
              </w:rPr>
              <w:t>ha consigliato il rientro a scuola.</w:t>
            </w:r>
          </w:p>
          <w:p w14:paraId="17741B61" w14:textId="77777777" w:rsidR="00323ADF" w:rsidRPr="006F17A0" w:rsidRDefault="00323ADF" w:rsidP="006F17A0">
            <w:pPr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</w:p>
          <w:p w14:paraId="56F6C1C2" w14:textId="77777777" w:rsidR="00323ADF" w:rsidRPr="006F17A0" w:rsidRDefault="00323ADF" w:rsidP="006F17A0">
            <w:pPr>
              <w:jc w:val="both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Art.16</w:t>
            </w:r>
          </w:p>
          <w:p w14:paraId="5BE38F5B" w14:textId="732ECB57" w:rsidR="00323ADF" w:rsidRPr="006F17A0" w:rsidRDefault="00323ADF" w:rsidP="006F17A0">
            <w:pPr>
              <w:ind w:left="736"/>
              <w:jc w:val="both"/>
              <w:rPr>
                <w:rFonts w:asciiTheme="minorHAnsi" w:hAnsiTheme="minorHAnsi" w:cstheme="minorHAnsi"/>
                <w:b w:val="0"/>
                <w:iCs/>
              </w:rPr>
            </w:pP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Le prescrizioni del presente regolamento rimangono in vigore fino al 15 ottobre 2020 e si intendono </w:t>
            </w:r>
            <w:r w:rsidR="007D435B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fin ad ora </w:t>
            </w:r>
            <w:r w:rsidRPr="006F17A0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prorogate per tutto il periodo successivo per il quale le autorità competenti dovessero ritenere necessario continuare ad adottare misure per il contenimento della diffusione del Sars-Cov2. </w:t>
            </w:r>
          </w:p>
        </w:tc>
      </w:tr>
      <w:tr w:rsidR="00860561" w:rsidRPr="00A7140B" w14:paraId="13DA3F28" w14:textId="77777777" w:rsidTr="0028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7" w:type="dxa"/>
            <w:vAlign w:val="center"/>
          </w:tcPr>
          <w:p w14:paraId="1AF71480" w14:textId="77777777" w:rsidR="00860561" w:rsidRPr="00A7140B" w:rsidRDefault="00860561" w:rsidP="006F17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iCs/>
              </w:rPr>
            </w:pPr>
          </w:p>
        </w:tc>
      </w:tr>
    </w:tbl>
    <w:p w14:paraId="43C9BA02" w14:textId="085FB0E0" w:rsidR="00B203FD" w:rsidRPr="00A7140B" w:rsidRDefault="00B203FD" w:rsidP="006F17A0">
      <w:pPr>
        <w:jc w:val="both"/>
        <w:rPr>
          <w:rFonts w:asciiTheme="minorHAnsi" w:hAnsiTheme="minorHAnsi" w:cstheme="minorHAnsi"/>
        </w:rPr>
      </w:pPr>
    </w:p>
    <w:sectPr w:rsidR="00B203FD" w:rsidRPr="00A7140B" w:rsidSect="006F17A0">
      <w:footerReference w:type="default" r:id="rId12"/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6A24" w14:textId="77777777" w:rsidR="0011275A" w:rsidRDefault="0011275A" w:rsidP="005B0764">
      <w:r>
        <w:separator/>
      </w:r>
    </w:p>
  </w:endnote>
  <w:endnote w:type="continuationSeparator" w:id="0">
    <w:p w14:paraId="745AFFEE" w14:textId="77777777" w:rsidR="0011275A" w:rsidRDefault="0011275A" w:rsidP="005B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7F7F7F" w:themeColor="text1" w:themeTint="80"/>
        <w:sz w:val="20"/>
        <w:szCs w:val="20"/>
      </w:rPr>
      <w:id w:val="-1653129588"/>
      <w:docPartObj>
        <w:docPartGallery w:val="Page Numbers (Bottom of Page)"/>
        <w:docPartUnique/>
      </w:docPartObj>
    </w:sdtPr>
    <w:sdtEndPr>
      <w:rPr>
        <w:i w:val="0"/>
        <w:iCs w:val="0"/>
        <w:color w:val="auto"/>
        <w:sz w:val="24"/>
        <w:szCs w:val="24"/>
      </w:rPr>
    </w:sdtEndPr>
    <w:sdtContent>
      <w:p w14:paraId="3452ADAF" w14:textId="56415006" w:rsidR="005B0764" w:rsidRDefault="005B0764">
        <w:pPr>
          <w:pStyle w:val="Pidipagina"/>
        </w:pPr>
        <w:r w:rsidRPr="005B0764">
          <w:rPr>
            <w:i/>
            <w:iCs/>
            <w:noProof/>
            <w:color w:val="7F7F7F" w:themeColor="text1" w:themeTint="80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BD693B" wp14:editId="62275B3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3" name="Ova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7ADEBE" w14:textId="77777777" w:rsidR="005B0764" w:rsidRDefault="005B0764">
                              <w:pPr>
                                <w:pStyle w:val="Pidipagina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6BD693B" id="Ovale 3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" filled="f" fillcolor="#c0504d" strokecolor="#adc1d9" strokeweight="1pt">
                  <v:textbox inset=",0,,0">
                    <w:txbxContent>
                      <w:p w14:paraId="1B7ADEBE" w14:textId="77777777" w:rsidR="005B0764" w:rsidRDefault="005B0764">
                        <w:pPr>
                          <w:pStyle w:val="Pidipagina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5B0764">
          <w:rPr>
            <w:i/>
            <w:iCs/>
            <w:color w:val="7F7F7F" w:themeColor="text1" w:themeTint="80"/>
            <w:sz w:val="20"/>
            <w:szCs w:val="20"/>
          </w:rPr>
          <w:t>I.C. Via Raiberti – Regolamento Emergenza Covid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1DF6" w14:textId="77777777" w:rsidR="0011275A" w:rsidRDefault="0011275A" w:rsidP="005B0764">
      <w:r>
        <w:separator/>
      </w:r>
    </w:p>
  </w:footnote>
  <w:footnote w:type="continuationSeparator" w:id="0">
    <w:p w14:paraId="586E1CFA" w14:textId="77777777" w:rsidR="0011275A" w:rsidRDefault="0011275A" w:rsidP="005B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E65ED9"/>
    <w:multiLevelType w:val="hybridMultilevel"/>
    <w:tmpl w:val="830A9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2DF6"/>
    <w:multiLevelType w:val="hybridMultilevel"/>
    <w:tmpl w:val="F0267D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63480D"/>
    <w:multiLevelType w:val="hybridMultilevel"/>
    <w:tmpl w:val="DFD8F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327D"/>
    <w:multiLevelType w:val="hybridMultilevel"/>
    <w:tmpl w:val="C5CA9188"/>
    <w:lvl w:ilvl="0" w:tplc="4CEEC9FE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F05701"/>
    <w:multiLevelType w:val="hybridMultilevel"/>
    <w:tmpl w:val="EB4C7C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16684"/>
    <w:multiLevelType w:val="hybridMultilevel"/>
    <w:tmpl w:val="577ED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38FF"/>
    <w:multiLevelType w:val="hybridMultilevel"/>
    <w:tmpl w:val="AB7E8E24"/>
    <w:lvl w:ilvl="0" w:tplc="0410000F">
      <w:start w:val="1"/>
      <w:numFmt w:val="decimal"/>
      <w:lvlText w:val="%1."/>
      <w:lvlJc w:val="left"/>
      <w:pPr>
        <w:ind w:left="1174" w:hanging="286"/>
      </w:pPr>
      <w:rPr>
        <w:rFonts w:hint="default"/>
        <w:w w:val="100"/>
        <w:lang w:val="it-IT" w:eastAsia="it-IT" w:bidi="it-IT"/>
      </w:rPr>
    </w:lvl>
    <w:lvl w:ilvl="1" w:tplc="3DFC793E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DC461258">
      <w:numFmt w:val="bullet"/>
      <w:lvlText w:val="•"/>
      <w:lvlJc w:val="left"/>
      <w:pPr>
        <w:ind w:left="1600" w:hanging="360"/>
      </w:pPr>
      <w:rPr>
        <w:rFonts w:hint="default"/>
        <w:lang w:val="it-IT" w:eastAsia="it-IT" w:bidi="it-IT"/>
      </w:rPr>
    </w:lvl>
    <w:lvl w:ilvl="3" w:tplc="10E0BF92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4" w:tplc="DA882A48">
      <w:numFmt w:val="bullet"/>
      <w:lvlText w:val="•"/>
      <w:lvlJc w:val="left"/>
      <w:pPr>
        <w:ind w:left="3889" w:hanging="360"/>
      </w:pPr>
      <w:rPr>
        <w:rFonts w:hint="default"/>
        <w:lang w:val="it-IT" w:eastAsia="it-IT" w:bidi="it-IT"/>
      </w:rPr>
    </w:lvl>
    <w:lvl w:ilvl="5" w:tplc="83E6733C">
      <w:numFmt w:val="bullet"/>
      <w:lvlText w:val="•"/>
      <w:lvlJc w:val="left"/>
      <w:pPr>
        <w:ind w:left="5034" w:hanging="360"/>
      </w:pPr>
      <w:rPr>
        <w:rFonts w:hint="default"/>
        <w:lang w:val="it-IT" w:eastAsia="it-IT" w:bidi="it-IT"/>
      </w:rPr>
    </w:lvl>
    <w:lvl w:ilvl="6" w:tplc="5AF86DAE">
      <w:numFmt w:val="bullet"/>
      <w:lvlText w:val="•"/>
      <w:lvlJc w:val="left"/>
      <w:pPr>
        <w:ind w:left="6179" w:hanging="360"/>
      </w:pPr>
      <w:rPr>
        <w:rFonts w:hint="default"/>
        <w:lang w:val="it-IT" w:eastAsia="it-IT" w:bidi="it-IT"/>
      </w:rPr>
    </w:lvl>
    <w:lvl w:ilvl="7" w:tplc="417816F8">
      <w:numFmt w:val="bullet"/>
      <w:lvlText w:val="•"/>
      <w:lvlJc w:val="left"/>
      <w:pPr>
        <w:ind w:left="7324" w:hanging="360"/>
      </w:pPr>
      <w:rPr>
        <w:rFonts w:hint="default"/>
        <w:lang w:val="it-IT" w:eastAsia="it-IT" w:bidi="it-IT"/>
      </w:rPr>
    </w:lvl>
    <w:lvl w:ilvl="8" w:tplc="7A1E7478">
      <w:numFmt w:val="bullet"/>
      <w:lvlText w:val="•"/>
      <w:lvlJc w:val="left"/>
      <w:pPr>
        <w:ind w:left="846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C13B8"/>
    <w:multiLevelType w:val="hybridMultilevel"/>
    <w:tmpl w:val="638A4550"/>
    <w:lvl w:ilvl="0" w:tplc="0410000D">
      <w:start w:val="1"/>
      <w:numFmt w:val="bullet"/>
      <w:lvlText w:val=""/>
      <w:lvlJc w:val="left"/>
      <w:pPr>
        <w:ind w:left="1174" w:hanging="286"/>
      </w:pPr>
      <w:rPr>
        <w:rFonts w:ascii="Wingdings" w:hAnsi="Wingdings" w:hint="default"/>
        <w:w w:val="100"/>
        <w:lang w:val="it-IT" w:eastAsia="it-IT" w:bidi="it-IT"/>
      </w:rPr>
    </w:lvl>
    <w:lvl w:ilvl="1" w:tplc="3DFC793E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DC461258">
      <w:numFmt w:val="bullet"/>
      <w:lvlText w:val="•"/>
      <w:lvlJc w:val="left"/>
      <w:pPr>
        <w:ind w:left="1600" w:hanging="360"/>
      </w:pPr>
      <w:rPr>
        <w:rFonts w:hint="default"/>
        <w:lang w:val="it-IT" w:eastAsia="it-IT" w:bidi="it-IT"/>
      </w:rPr>
    </w:lvl>
    <w:lvl w:ilvl="3" w:tplc="10E0BF92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4" w:tplc="DA882A48">
      <w:numFmt w:val="bullet"/>
      <w:lvlText w:val="•"/>
      <w:lvlJc w:val="left"/>
      <w:pPr>
        <w:ind w:left="3889" w:hanging="360"/>
      </w:pPr>
      <w:rPr>
        <w:rFonts w:hint="default"/>
        <w:lang w:val="it-IT" w:eastAsia="it-IT" w:bidi="it-IT"/>
      </w:rPr>
    </w:lvl>
    <w:lvl w:ilvl="5" w:tplc="83E6733C">
      <w:numFmt w:val="bullet"/>
      <w:lvlText w:val="•"/>
      <w:lvlJc w:val="left"/>
      <w:pPr>
        <w:ind w:left="5034" w:hanging="360"/>
      </w:pPr>
      <w:rPr>
        <w:rFonts w:hint="default"/>
        <w:lang w:val="it-IT" w:eastAsia="it-IT" w:bidi="it-IT"/>
      </w:rPr>
    </w:lvl>
    <w:lvl w:ilvl="6" w:tplc="5AF86DAE">
      <w:numFmt w:val="bullet"/>
      <w:lvlText w:val="•"/>
      <w:lvlJc w:val="left"/>
      <w:pPr>
        <w:ind w:left="6179" w:hanging="360"/>
      </w:pPr>
      <w:rPr>
        <w:rFonts w:hint="default"/>
        <w:lang w:val="it-IT" w:eastAsia="it-IT" w:bidi="it-IT"/>
      </w:rPr>
    </w:lvl>
    <w:lvl w:ilvl="7" w:tplc="417816F8">
      <w:numFmt w:val="bullet"/>
      <w:lvlText w:val="•"/>
      <w:lvlJc w:val="left"/>
      <w:pPr>
        <w:ind w:left="7324" w:hanging="360"/>
      </w:pPr>
      <w:rPr>
        <w:rFonts w:hint="default"/>
        <w:lang w:val="it-IT" w:eastAsia="it-IT" w:bidi="it-IT"/>
      </w:rPr>
    </w:lvl>
    <w:lvl w:ilvl="8" w:tplc="7A1E7478">
      <w:numFmt w:val="bullet"/>
      <w:lvlText w:val="•"/>
      <w:lvlJc w:val="left"/>
      <w:pPr>
        <w:ind w:left="8469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D8"/>
    <w:rsid w:val="00007EB5"/>
    <w:rsid w:val="00023B42"/>
    <w:rsid w:val="000B0214"/>
    <w:rsid w:val="000D48D8"/>
    <w:rsid w:val="00110BAD"/>
    <w:rsid w:val="0011275A"/>
    <w:rsid w:val="00163A44"/>
    <w:rsid w:val="001F3992"/>
    <w:rsid w:val="00323ADF"/>
    <w:rsid w:val="003265E1"/>
    <w:rsid w:val="00356073"/>
    <w:rsid w:val="003C3A36"/>
    <w:rsid w:val="0052392D"/>
    <w:rsid w:val="0055195B"/>
    <w:rsid w:val="005B0764"/>
    <w:rsid w:val="005E74E4"/>
    <w:rsid w:val="006E1F21"/>
    <w:rsid w:val="006F17A0"/>
    <w:rsid w:val="00734B2F"/>
    <w:rsid w:val="00780A7B"/>
    <w:rsid w:val="007D435B"/>
    <w:rsid w:val="007D590A"/>
    <w:rsid w:val="00860561"/>
    <w:rsid w:val="008B4BA5"/>
    <w:rsid w:val="00933544"/>
    <w:rsid w:val="009C3AEA"/>
    <w:rsid w:val="00A23707"/>
    <w:rsid w:val="00A7140B"/>
    <w:rsid w:val="00AD02D7"/>
    <w:rsid w:val="00B0250E"/>
    <w:rsid w:val="00B203FD"/>
    <w:rsid w:val="00BC0209"/>
    <w:rsid w:val="00BC548D"/>
    <w:rsid w:val="00D71F8F"/>
    <w:rsid w:val="00E237D3"/>
    <w:rsid w:val="00F874B2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BD75C"/>
  <w15:chartTrackingRefBased/>
  <w15:docId w15:val="{15CA16DF-5253-489A-9234-9C57E21B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D48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48D8"/>
    <w:pPr>
      <w:ind w:left="720"/>
      <w:contextualSpacing/>
    </w:pPr>
  </w:style>
  <w:style w:type="table" w:styleId="Tabellagriglia1chiara-colore5">
    <w:name w:val="Grid Table 1 Light Accent 5"/>
    <w:basedOn w:val="Tabellanormale"/>
    <w:uiPriority w:val="46"/>
    <w:rsid w:val="000D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C54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54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54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5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548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4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48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7D590A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07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7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07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76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nfortunistica-dpi.it/Mascherine_chirurgiche_monouso_Normative_e_classificazio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ntinfortunistica-dpi.it/Mascherine_chirurgiche_monouso_Normative_e_classificazio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f600v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69BA-2460-4BDA-8957-BF52AD74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Walter Prizio</dc:creator>
  <cp:keywords/>
  <dc:description/>
  <cp:lastModifiedBy>Francesco Walter Prizio</cp:lastModifiedBy>
  <cp:revision>6</cp:revision>
  <cp:lastPrinted>2020-09-19T18:35:00Z</cp:lastPrinted>
  <dcterms:created xsi:type="dcterms:W3CDTF">2020-09-19T18:15:00Z</dcterms:created>
  <dcterms:modified xsi:type="dcterms:W3CDTF">2020-09-19T19:27:00Z</dcterms:modified>
</cp:coreProperties>
</file>